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 возможность каждого человека получить соответствующие знания и умения независимо от пола, расы, национальности, места жительства, состояния здоровья, вероисповедания, убеждений, социального положения, материального положения и т.п.;</w:t>
        <w:br/>
      </w:r>
      <w:r>
        <w:t>(Может быть дан иной уместный ответ на вопрос.)</w:t>
        <w:br/>
      </w:r>
      <w:r>
        <w:t>2) рассказ о реализации права на образование должен включать в себя:</w:t>
        <w:br/>
      </w:r>
      <w:r>
        <w:t>– указание уровня образования, который получает подросток (основное общее);</w:t>
        <w:br/>
      </w:r>
      <w:r>
        <w:t>– объяснение того, каковы личные цели/результаты (цель/результат) получения образования на данном этапе;</w:t>
        <w:br/>
      </w:r>
      <w:r>
        <w:t>– указание одного или нескольких видов работы на уроках, которые являются самыми трудными для обучающегося;</w:t>
        <w:br/>
      </w:r>
      <w:r>
        <w:t>– указание причины трудности указанного(-ых) вида(-ов) учебной деятельности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Правильный ответ должен содержать следующие элементы:</w:t>
        <w:br/>
      </w:r>
      <w:r>
        <w:t>1) ответ на первый вопрос и предположение:</w:t>
        <w:br/>
      </w:r>
      <w:r>
        <w:t>– ответ на первый вопрос: наибольшая доля опрошенных ответили, что для благополучного функционирования общества важно в первую очередь соблюдение моральных норм;</w:t>
        <w:br/>
      </w:r>
      <w:r>
        <w:t>(Ответ на вопрос может быть дан в иной, близкой по смыслу формулировке.)</w:t>
        <w:br/>
      </w:r>
      <w:r>
        <w:t>– предположение, например: действие моральных норм распространяется на все виды социальных отношений, в том числе и на те, которые не регулируются правом или обычаями;</w:t>
        <w:br/>
      </w:r>
      <w:r>
        <w:t>(Может быть высказано иное уместное предположение.)</w:t>
        <w:br/>
      </w:r>
      <w:r>
        <w:t>2) ответ на второй вопрос с указанием характеристики религиозных норм, например:</w:t>
        <w:br/>
      </w:r>
      <w:r>
        <w:t>– больше тех, кто считает, что важнее соблюдать правовые нормы;</w:t>
        <w:br/>
      </w:r>
      <w:r>
        <w:t>– каждый мусульманин должен в праздник Курбан-байрам подать бедным деньги или пищу;</w:t>
        <w:br/>
      </w:r>
      <w:r>
        <w:t>(Ответ на второй вопрос может быть сформулирован иначе. Может быть приведён другой пример религиозной нормы.)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22111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достойная роль, которая предопределена человеку; миссия человека; жизненный смысл совершаемых поступков;</w:t>
        <w:br/>
      </w:r>
      <w:r>
        <w:t>2) объяснение, например: защищая свою Родину, гражданин выполняет свой нравственный долг, его поступки приобретают глубокий нравственный смысл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 (два объяснения), например:</w:t>
        <w:br/>
      </w:r>
      <w:r>
        <w:t>– происходит загрязнение природы бытовым мусором;</w:t>
        <w:br/>
      </w:r>
      <w:r>
        <w:t>– любой мусор занимает очень много места, которое можно было бы использовать в сельскохозяйственных целях;</w:t>
        <w:br/>
      </w:r>
      <w:r>
        <w:t>– землю, на которой хотя бы в течение нескольких лет была свалка отходов жизнедеятельности человека, практически невозможно снова использовать: в почве за этот срок накапливается огромное количество веществ, препятствующих росту растений;</w:t>
        <w:br/>
      </w:r>
      <w:r>
        <w:t>2) ответ на второй вопрос, например: объяснять людям вред от выбрасывания мусора в не приспособленных для этого местах / воспитывать у людей уважение к природе, готовность в своей практической деятельности действовать в интересах сохранения природы.</w:t>
        <w:br/>
      </w:r>
      <w:r>
        <w:t>Могут быть даны другие ответы на вопросы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к политической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краткий (из 5–7 предложений) рассказ о гражданских правоотношениях с использованием шести предложенных понятий, например:</w:t>
        <w:br/>
      </w:r>
      <w:r>
        <w:t>Гражданские правоотношения – это общественные отношения, регулируемые нормами гражданского права. Они основаны на признании равенства участников, неприкосновенности собственности, свободы договора. Граждане (физические лица) и юридические лица приобретают и осуществляют свои гражданские права своей волей и в своём интересе. Они свободны в установлении своих прав и обязанностей на основе договора и в определении любых не противоречащих законодательству условий договора. В случае нарушения своих гражданских прав участник правоотношений может обратиться в суд. Помимо обращения в суд, лицо, право которого нарушено, может прибегнуть к самозащите. Самозащита должна соответствовать способу и характеру нарушений в отношении имущества.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