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Рекомендации организаторам </w:t>
      </w:r>
      <w:r w:rsidR="001F1C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заключительного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этапа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Всероссийской олимпиады школьников по технологии 2021/2022 года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Робототехника, 9 классы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Навигация роботов и перемещение объектов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Материально-техническое обеспечение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для практического задания </w:t>
      </w:r>
    </w:p>
    <w:p w:rsidR="007A6CFF" w:rsidRDefault="007A6CFF" w:rsidP="007A6CFF">
      <w:pPr>
        <w:spacing w:after="0" w:line="100" w:lineRule="atLeast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/>
          <w:color w:val="000000"/>
          <w:sz w:val="24"/>
          <w:szCs w:val="24"/>
        </w:rPr>
        <w:t>Материалы: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макетная плата не менее 170 точек (плата прототипирования), или Ардуино совместимая плата расширения (шилд) для подключения датчиков и сервопривода;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регулируемый стабилизатор питания (на основе чипа GS2678 или аналог),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шасси для робота в сборе (DFRobot </w:t>
      </w: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2WD miniQ или Amperka miniQ, или аналог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), включающее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круглую или прямоугольную платформу диаметром (шириной) не менее 122 мм и не более 180 мм с отверстиями для крепления компонентов;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два коллекторных двигателя с редукторами 100:1 и припаянными проводами;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два комплекта креплений для двигателей с крепежом М2;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два колеса 42х19 мм;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две шаровых опоры;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контроллер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UNO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или аналог;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драйвер двигателей (на основе чипа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298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или аналог);</w:t>
      </w:r>
    </w:p>
    <w:p w:rsidR="00D51FCB" w:rsidRPr="00A74186" w:rsidRDefault="00D51FCB" w:rsidP="00D51FCB">
      <w:pPr>
        <w:pStyle w:val="2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два инфракрасных дальномера (10-80 см) Sharp GP2Y0A21 или аналог;</w:t>
      </w:r>
    </w:p>
    <w:p w:rsidR="00D51FCB" w:rsidRPr="00A74186" w:rsidRDefault="00D51FCB" w:rsidP="00D51FCB">
      <w:pPr>
        <w:pStyle w:val="2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два пассивных крепления</w:t>
      </w: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для дальномер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ов</w:t>
      </w: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два аналоговых датчика отражения на основе фототранзисторной оптопары (датчик линии);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серводвигатель с конструктивными элементами для крепления и построения манипулятора для «сталкивания» объектов;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скобы и кронштейны для крепления датчиков;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винты М3;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гайки М3;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шайбы 3 мм;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самоконтрящиеся гайки М3 со стопорным нейлоновым кольцом, 3 шт.;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стойки для плат шестигранные;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пружинные шайбы 3 мм;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соединительные провода;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кабельные стяжки (пластиковые хомуты) 2,5х150 мм;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3 аккумуляторные батареи типоразмера «Крона» с зарядным устройством (возможно использование одноразовых батарей емкостью не менее 500мАч); допускается замена на 4 аккумуляторных батареи 3.7В типоразмера «18650»;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кабель с разъемом для АКБ типа «Крона» или батарейный блок под 2 аккумулятора «18650», соединенных последовательно, с разъемом для подключения к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выключатель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кабель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USB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1FCB" w:rsidRPr="00A74186" w:rsidRDefault="00D51FCB" w:rsidP="00D51FCB">
      <w:pPr>
        <w:spacing w:after="0" w:line="100" w:lineRule="atLeast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/>
          <w:color w:val="000000"/>
          <w:sz w:val="24"/>
          <w:szCs w:val="24"/>
        </w:rPr>
        <w:t>Инструменты, методические пособия и прочее: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персональный компьютер или ноутбук с предустановленным программным обеспечением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IDE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для программирования робота;</w:t>
      </w:r>
    </w:p>
    <w:p w:rsidR="00D51FCB" w:rsidRPr="00A74186" w:rsidRDefault="00D51FCB" w:rsidP="00D51FCB">
      <w:pPr>
        <w:pStyle w:val="2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карандаш, линейка, стирательная резинка и два листа плотной бумаги для черчения формата А4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2 крестовые отвёртки, подходящие под предоставленный крепёж;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плоская отвёртка, подходящая под клеммы модулей;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отвёртка с торцевым ключом, подходящим под предоставленный крепёж;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маленькие плоскогубцы или утконосы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бокорезы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цифровой мультиметр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распечатанная техническая документация на платы расширения и датчики;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зарядное устройство для аккумуляторов типа «Крона» (возможно, одно на несколько рабочих мест, из расчёта, чтобы все участники могли заряжать по одному аккумулятору одновременно); или зарядное устройство для аккумуляторов типа 18650;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один соревновательный полигон на каждые 10 рабочих мест.</w:t>
      </w:r>
    </w:p>
    <w:p w:rsidR="00D51FCB" w:rsidRPr="00A74186" w:rsidRDefault="00D51FCB" w:rsidP="00D51FCB">
      <w:pPr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/>
          <w:color w:val="000000"/>
          <w:sz w:val="24"/>
          <w:szCs w:val="24"/>
        </w:rPr>
        <w:t>Примечание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: соединительные провода, винты, гайки, пружинные шайбы, стойки для плат, кабельные стяжки, а также скобы и кронштейны должны быть предоставлены в избыточном количестве. Их размеры должны обеспечивать совместимость друг с другом и с шасси для робота. Аккумуляторные батареи должны быть новыми и полностью заряженными.</w:t>
      </w:r>
    </w:p>
    <w:p w:rsidR="001241CF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4C10" w:rsidRPr="00594C10" w:rsidRDefault="00594C10" w:rsidP="00594C10">
      <w:pPr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4C10">
        <w:rPr>
          <w:rFonts w:ascii="Times New Roman" w:hAnsi="Times New Roman" w:cs="Times New Roman"/>
          <w:b/>
          <w:color w:val="000000"/>
          <w:sz w:val="24"/>
          <w:szCs w:val="24"/>
        </w:rPr>
        <w:t>Соревновательный полигон</w:t>
      </w:r>
    </w:p>
    <w:p w:rsidR="00594C10" w:rsidRPr="00894960" w:rsidRDefault="00594C10" w:rsidP="00594C10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один соревновательный полигон на каждые 10 рабочих мест: </w:t>
      </w:r>
    </w:p>
    <w:p w:rsidR="00594C10" w:rsidRPr="00894960" w:rsidRDefault="00594C10" w:rsidP="00594C10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распечатанный в типографии литой баннер</w:t>
      </w:r>
      <w:r w:rsidRPr="00894960">
        <w:rPr>
          <w:rFonts w:ascii="Times New Roman" w:hAnsi="Times New Roman" w:cs="Times New Roman"/>
          <w:color w:val="000000"/>
          <w:sz w:val="24"/>
          <w:szCs w:val="24"/>
        </w:rPr>
        <w:t xml:space="preserve"> 1200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× </w:t>
      </w:r>
      <w:r w:rsidRPr="00894960">
        <w:rPr>
          <w:rFonts w:ascii="Times New Roman" w:hAnsi="Times New Roman" w:cs="Times New Roman"/>
          <w:color w:val="000000"/>
          <w:sz w:val="24"/>
          <w:szCs w:val="24"/>
        </w:rPr>
        <w:t>2500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мм</w:t>
      </w:r>
      <w:r w:rsidR="00D51FCB">
        <w:rPr>
          <w:rFonts w:ascii="Times New Roman" w:hAnsi="Times New Roman" w:cs="Times New Roman"/>
          <w:color w:val="000000"/>
          <w:sz w:val="24"/>
          <w:szCs w:val="24"/>
        </w:rPr>
        <w:t xml:space="preserve"> плотностью 510 г/м</w:t>
      </w:r>
      <w:r w:rsidR="00D51FCB" w:rsidRPr="00D51FCB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594C10" w:rsidRPr="00894960" w:rsidRDefault="00594C10" w:rsidP="00594C10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 алюминиевых банок 0,33 л, оклеенных белой бумагой, </w:t>
      </w:r>
    </w:p>
    <w:p w:rsidR="00594C10" w:rsidRPr="008F74B0" w:rsidRDefault="0050598F" w:rsidP="00594C10">
      <w:pPr>
        <w:pStyle w:val="2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 пьедестала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цилиндрической формы 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>высотой 120 ± 10 мм и диаметром 60 ± 5 мм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 xml:space="preserve"> (могут быть изготовлены из дерева, пла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>тика и др. материалов)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594C10" w:rsidRPr="00894960" w:rsidRDefault="00D51FCB" w:rsidP="00594C10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 деревянные рейки примерным сечением 15 × 15 мм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длиной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0 ±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>0 мм,</w:t>
      </w:r>
    </w:p>
    <w:p w:rsidR="00594C10" w:rsidRPr="00594C10" w:rsidRDefault="00594C10" w:rsidP="00594C10">
      <w:pPr>
        <w:pStyle w:val="2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4C10">
        <w:rPr>
          <w:rFonts w:ascii="Times New Roman" w:hAnsi="Times New Roman" w:cs="Times New Roman"/>
          <w:color w:val="000000"/>
          <w:sz w:val="24"/>
          <w:szCs w:val="24"/>
        </w:rPr>
        <w:t>двухсторонний скотч.</w:t>
      </w:r>
    </w:p>
    <w:p w:rsidR="00594C10" w:rsidRDefault="00594C10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Организаторы практического тура предоставляют шасси робота в собранном виде. 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87A4D">
        <w:rPr>
          <w:rFonts w:ascii="Times New Roman" w:hAnsi="Times New Roman" w:cs="Times New Roman"/>
          <w:sz w:val="24"/>
          <w:szCs w:val="24"/>
        </w:rPr>
        <w:t xml:space="preserve">се </w:t>
      </w:r>
      <w:r>
        <w:rPr>
          <w:rFonts w:ascii="Times New Roman" w:hAnsi="Times New Roman" w:cs="Times New Roman"/>
          <w:sz w:val="24"/>
          <w:szCs w:val="24"/>
        </w:rPr>
        <w:t xml:space="preserve">остальные </w:t>
      </w:r>
      <w:r w:rsidRPr="00687A4D">
        <w:rPr>
          <w:rFonts w:ascii="Times New Roman" w:hAnsi="Times New Roman" w:cs="Times New Roman"/>
          <w:sz w:val="24"/>
          <w:szCs w:val="24"/>
        </w:rPr>
        <w:t>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виде), за исключением документации на компоненты</w:t>
      </w:r>
      <w:r w:rsidR="00AE1F09">
        <w:rPr>
          <w:rFonts w:ascii="Times New Roman" w:hAnsi="Times New Roman" w:cs="Times New Roman"/>
          <w:sz w:val="24"/>
          <w:szCs w:val="24"/>
        </w:rPr>
        <w:t xml:space="preserve"> или конструктивные элементы</w:t>
      </w:r>
      <w:r w:rsidR="00AE1F09" w:rsidRPr="00687A4D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687A4D">
        <w:rPr>
          <w:rFonts w:ascii="Times New Roman" w:hAnsi="Times New Roman" w:cs="Times New Roman"/>
          <w:sz w:val="24"/>
          <w:szCs w:val="24"/>
        </w:rPr>
        <w:t xml:space="preserve"> выданной организаторами олимпиады.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В конструкции робота допускается использование только тех деталей и узлов, которые выданы организаторами.</w:t>
      </w:r>
    </w:p>
    <w:p w:rsidR="001241CF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Все элементы робота, включая контроллер, систему питания, должны находиться на роботе.</w:t>
      </w:r>
    </w:p>
    <w:p w:rsidR="00185EBD" w:rsidRPr="00185EBD" w:rsidRDefault="00185EBD" w:rsidP="00185EBD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85EBD">
        <w:rPr>
          <w:rFonts w:ascii="Times New Roman" w:hAnsi="Times New Roman" w:cs="Times New Roman"/>
          <w:sz w:val="24"/>
          <w:szCs w:val="24"/>
        </w:rPr>
        <w:t>азмеры робота на старте не должны превышать 250х250х250 мм, в процессе выполнения задания р</w:t>
      </w:r>
      <w:r>
        <w:rPr>
          <w:rFonts w:ascii="Times New Roman" w:hAnsi="Times New Roman" w:cs="Times New Roman"/>
          <w:sz w:val="24"/>
          <w:szCs w:val="24"/>
        </w:rPr>
        <w:t>азмеры робота могут увеличиться. Организаторы предоставляют измерительный куб соответствующего размера или иное приспособление.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</w:pPr>
      <w:r w:rsidRPr="00687A4D">
        <w:rPr>
          <w:rFonts w:ascii="Times New Roman" w:hAnsi="Times New Roman" w:cs="Times New Roman"/>
          <w:sz w:val="24"/>
          <w:szCs w:val="24"/>
        </w:rPr>
        <w:t>При зачетном старте робот должен быть включен вручную по команде члена жюри, после чего в работу робота нельзя вмешиваться. Если участник прикоснулся к роботу или полигону во время заезда, попытка немедленно останавливается и производится подсчет набранных баллов.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lastRenderedPageBreak/>
        <w:t>Зачетный заезд длится максимум 120 секунд, после чего, если робот еще не остановился, он должен быть остановлен вручную по команде члена жюри, зафиксировано его местоположение.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</w:pPr>
      <w:r w:rsidRPr="00687A4D">
        <w:rPr>
          <w:rFonts w:ascii="Times New Roman" w:hAnsi="Times New Roman" w:cs="Times New Roman"/>
          <w:sz w:val="24"/>
          <w:szCs w:val="24"/>
        </w:rPr>
        <w:t xml:space="preserve">В том случае, если робот </w:t>
      </w:r>
      <w:r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687A4D">
        <w:rPr>
          <w:rFonts w:ascii="Times New Roman" w:hAnsi="Times New Roman" w:cs="Times New Roman"/>
          <w:sz w:val="24"/>
          <w:szCs w:val="24"/>
        </w:rPr>
        <w:t>выехал за</w:t>
      </w:r>
      <w:r>
        <w:rPr>
          <w:rFonts w:ascii="Times New Roman" w:hAnsi="Times New Roman" w:cs="Times New Roman"/>
          <w:sz w:val="24"/>
          <w:szCs w:val="24"/>
        </w:rPr>
        <w:t xml:space="preserve"> пределы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полигон</w:t>
      </w:r>
      <w:r w:rsidRPr="00687A4D">
        <w:rPr>
          <w:rFonts w:ascii="Times New Roman" w:hAnsi="Times New Roman" w:cs="Times New Roman"/>
          <w:sz w:val="24"/>
          <w:szCs w:val="24"/>
        </w:rPr>
        <w:t>а, заезд прекращается, производится подсч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87A4D">
        <w:rPr>
          <w:rFonts w:ascii="Times New Roman" w:hAnsi="Times New Roman" w:cs="Times New Roman"/>
          <w:sz w:val="24"/>
          <w:szCs w:val="24"/>
        </w:rPr>
        <w:t>т баллов.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Количество пробных стартов не ограничено.</w:t>
      </w: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Каждому участнику должно быть дано две попытки.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Общее время на подготовку составляет 220 минут: к первой попытке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0 минут после начала выполнения задания, </w:t>
      </w:r>
      <w:r>
        <w:rPr>
          <w:rFonts w:ascii="Times New Roman" w:hAnsi="Times New Roman" w:cs="Times New Roman"/>
          <w:color w:val="000000"/>
          <w:sz w:val="24"/>
          <w:szCs w:val="24"/>
        </w:rPr>
        <w:t>ко второй попытке –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60 минут после окончания первой попытки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перерыва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подготовки к первой попытке и после первой попытки должны быть сделаны два перерыва по 10 минут, во время которых учащиеся выходят из класса и производится проветривание. 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Перед попыткой все участники сдают роботов судьям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карантин 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и забирают обратно только после завершения всех заездов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первой 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попытки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перерыва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. Участник может отказаться от попытки, но робота сдает в любом случае. После каждой сдачи всех роботов в карантин судьями вытягивается жребий с расположением эталонных объектов один раз для всех участников попытки.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Время на попытки, карантин и перерывы не входят во время подготовки.</w:t>
      </w:r>
    </w:p>
    <w:p w:rsidR="00D51FCB" w:rsidRPr="00A74186" w:rsidRDefault="00D51FCB" w:rsidP="00D51FCB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В зачет идет результат лучшей попытки. Схема, код программы и конструкция робота проверяются после второй попытки.</w:t>
      </w:r>
    </w:p>
    <w:p w:rsidR="0011640D" w:rsidRPr="00687A4D" w:rsidRDefault="0011640D" w:rsidP="001164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D3E" w:rsidRDefault="00C81D3E" w:rsidP="00C81D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68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Пример выполнения схемы электрической </w:t>
      </w:r>
      <w:r w:rsidR="005731A9" w:rsidRPr="003047D9">
        <w:rPr>
          <w:rFonts w:ascii="Times New Roman" w:hAnsi="Times New Roman" w:cs="Times New Roman"/>
          <w:b/>
          <w:color w:val="000000"/>
          <w:sz w:val="24"/>
          <w:szCs w:val="24"/>
        </w:rPr>
        <w:t>структурной</w:t>
      </w:r>
      <w:r w:rsidRPr="003868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Э</w:t>
      </w:r>
      <w:r w:rsidR="003047D9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C81D3E" w:rsidRPr="0038687D" w:rsidRDefault="00C81D3E" w:rsidP="00C81D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02FD" w:rsidRDefault="00C81D3E" w:rsidP="007A6CFF">
      <w:pPr>
        <w:spacing w:after="0" w:line="36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940425" cy="28460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1 (1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4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0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1F1" w:rsidRDefault="002B11F1" w:rsidP="00D51FCB">
      <w:pPr>
        <w:spacing w:after="0" w:line="240" w:lineRule="auto"/>
      </w:pPr>
      <w:r>
        <w:separator/>
      </w:r>
    </w:p>
  </w:endnote>
  <w:endnote w:type="continuationSeparator" w:id="0">
    <w:p w:rsidR="002B11F1" w:rsidRDefault="002B11F1" w:rsidP="00D51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629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1F1" w:rsidRDefault="002B11F1" w:rsidP="00D51FCB">
      <w:pPr>
        <w:spacing w:after="0" w:line="240" w:lineRule="auto"/>
      </w:pPr>
      <w:r>
        <w:separator/>
      </w:r>
    </w:p>
  </w:footnote>
  <w:footnote w:type="continuationSeparator" w:id="0">
    <w:p w:rsidR="002B11F1" w:rsidRDefault="002B11F1" w:rsidP="00D51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4" w15:restartNumberingAfterBreak="0">
    <w:nsid w:val="0825148B"/>
    <w:multiLevelType w:val="multilevel"/>
    <w:tmpl w:val="9DA09E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A9B0F3D"/>
    <w:multiLevelType w:val="multilevel"/>
    <w:tmpl w:val="A50AED66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5EF"/>
    <w:rsid w:val="000D55EF"/>
    <w:rsid w:val="0011640D"/>
    <w:rsid w:val="001178D0"/>
    <w:rsid w:val="001241CF"/>
    <w:rsid w:val="00185EBD"/>
    <w:rsid w:val="001F1C7B"/>
    <w:rsid w:val="002B11F1"/>
    <w:rsid w:val="003047D9"/>
    <w:rsid w:val="003D173C"/>
    <w:rsid w:val="00425125"/>
    <w:rsid w:val="00465669"/>
    <w:rsid w:val="0050598F"/>
    <w:rsid w:val="005731A9"/>
    <w:rsid w:val="00594C10"/>
    <w:rsid w:val="006622B6"/>
    <w:rsid w:val="007225B5"/>
    <w:rsid w:val="007A58E6"/>
    <w:rsid w:val="007A6CFF"/>
    <w:rsid w:val="007C6E05"/>
    <w:rsid w:val="00873A26"/>
    <w:rsid w:val="00894960"/>
    <w:rsid w:val="0099766C"/>
    <w:rsid w:val="00AD3C42"/>
    <w:rsid w:val="00AE1F09"/>
    <w:rsid w:val="00B7054D"/>
    <w:rsid w:val="00C81D3E"/>
    <w:rsid w:val="00D002FD"/>
    <w:rsid w:val="00D11F77"/>
    <w:rsid w:val="00D51FCB"/>
    <w:rsid w:val="00D71229"/>
    <w:rsid w:val="00D94A6C"/>
    <w:rsid w:val="00DB40A8"/>
    <w:rsid w:val="00ED20C1"/>
    <w:rsid w:val="00EF6345"/>
    <w:rsid w:val="00FC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58D58"/>
  <w15:chartTrackingRefBased/>
  <w15:docId w15:val="{83C5352B-16D7-42FC-AA12-1F1E398F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5EF"/>
    <w:pPr>
      <w:suppressAutoHyphens/>
      <w:spacing w:after="200" w:line="276" w:lineRule="auto"/>
    </w:pPr>
    <w:rPr>
      <w:rFonts w:ascii="Calibri" w:eastAsia="Lucida Sans Unicode" w:hAnsi="Calibri" w:cs="font629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D55EF"/>
    <w:pPr>
      <w:ind w:left="720"/>
    </w:pPr>
  </w:style>
  <w:style w:type="paragraph" w:styleId="a3">
    <w:name w:val="List Paragraph"/>
    <w:basedOn w:val="a"/>
    <w:uiPriority w:val="34"/>
    <w:qFormat/>
    <w:rsid w:val="000D55EF"/>
    <w:pPr>
      <w:suppressAutoHyphens w:val="0"/>
      <w:ind w:left="720"/>
      <w:contextualSpacing/>
    </w:pPr>
    <w:rPr>
      <w:rFonts w:eastAsia="Calibri" w:cs="Calibri"/>
      <w:lang w:eastAsia="en-US"/>
    </w:rPr>
  </w:style>
  <w:style w:type="paragraph" w:customStyle="1" w:styleId="2">
    <w:name w:val="Абзац списка2"/>
    <w:basedOn w:val="a"/>
    <w:rsid w:val="00ED20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Александрович Филиппов</dc:creator>
  <cp:keywords/>
  <dc:description/>
  <cp:lastModifiedBy>Сергей Александрович Филиппов</cp:lastModifiedBy>
  <cp:revision>4</cp:revision>
  <dcterms:created xsi:type="dcterms:W3CDTF">2022-04-19T04:25:00Z</dcterms:created>
  <dcterms:modified xsi:type="dcterms:W3CDTF">2022-04-19T04:39:00Z</dcterms:modified>
</cp:coreProperties>
</file>